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78" w:rsidRPr="006E1004" w:rsidRDefault="008B4198" w:rsidP="0083317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33178" w:rsidRPr="00833178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5080" b="5080"/>
            <wp:docPr id="1" name="Рисунок 1" descr="C:\Users\user\Downloads\Учебный план СрОО 24-25г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СрОО 24-25г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178" w:rsidRDefault="00833178" w:rsidP="007B0A4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7B0A4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7B0A43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7B0A43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профессионально-образовательного учреждения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Федерального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государственного бюджетного профессионально-образовательного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7B0A43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профессионально-образов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ательном учреждении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B0A43">
        <w:rPr>
          <w:rFonts w:asciiTheme="majorBidi" w:hAnsiTheme="majorBidi" w:cstheme="majorBidi"/>
          <w:sz w:val="28"/>
          <w:szCs w:val="28"/>
        </w:rPr>
        <w:t>02.09.2024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7B0A43">
        <w:rPr>
          <w:rFonts w:asciiTheme="majorBidi" w:hAnsiTheme="majorBidi" w:cstheme="majorBidi"/>
          <w:sz w:val="28"/>
          <w:szCs w:val="28"/>
        </w:rPr>
        <w:t>31.05.2025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7B0A43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а,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32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6E1004" w:rsidRDefault="00F23C59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7B0A43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7B0A43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 не 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081215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081215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081215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>Федерального государственного бюджетного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профессион</w:t>
      </w:r>
      <w:r w:rsidR="007B0A43">
        <w:rPr>
          <w:rStyle w:val="markedcontent"/>
          <w:rFonts w:asciiTheme="majorBidi" w:hAnsiTheme="majorBidi" w:cstheme="majorBidi"/>
          <w:sz w:val="28"/>
          <w:szCs w:val="28"/>
        </w:rPr>
        <w:t xml:space="preserve">ально-образовательное учреждения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7B0A43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7B0A43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806F1A">
        <w:tc>
          <w:tcPr>
            <w:tcW w:w="6000" w:type="dxa"/>
            <w:vMerge w:val="restart"/>
            <w:shd w:val="clear" w:color="auto" w:fill="D9D9D9"/>
          </w:tcPr>
          <w:p w:rsidR="00806F1A" w:rsidRDefault="00A8076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06F1A" w:rsidRDefault="00A80763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  <w:vMerge/>
          </w:tcPr>
          <w:p w:rsidR="00806F1A" w:rsidRDefault="00806F1A"/>
        </w:tc>
        <w:tc>
          <w:tcPr>
            <w:tcW w:w="0" w:type="dxa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06F1A">
        <w:tc>
          <w:tcPr>
            <w:tcW w:w="14552" w:type="dxa"/>
            <w:gridSpan w:val="4"/>
            <w:shd w:val="clear" w:color="auto" w:fill="FFFFB3"/>
          </w:tcPr>
          <w:p w:rsidR="00806F1A" w:rsidRDefault="00A8076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06F1A">
        <w:tc>
          <w:tcPr>
            <w:tcW w:w="3638" w:type="dxa"/>
            <w:vMerge w:val="restart"/>
          </w:tcPr>
          <w:p w:rsidR="00806F1A" w:rsidRDefault="00A80763">
            <w:r>
              <w:t>Русский язык и литература</w:t>
            </w:r>
          </w:p>
        </w:tc>
        <w:tc>
          <w:tcPr>
            <w:tcW w:w="3638" w:type="dxa"/>
          </w:tcPr>
          <w:p w:rsidR="00806F1A" w:rsidRDefault="00A80763">
            <w:r>
              <w:t>Русский язык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Литература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</w:tr>
      <w:tr w:rsidR="00806F1A">
        <w:tc>
          <w:tcPr>
            <w:tcW w:w="3638" w:type="dxa"/>
          </w:tcPr>
          <w:p w:rsidR="00806F1A" w:rsidRDefault="00A80763">
            <w:r>
              <w:t>Иностранные языки</w:t>
            </w:r>
          </w:p>
        </w:tc>
        <w:tc>
          <w:tcPr>
            <w:tcW w:w="3638" w:type="dxa"/>
          </w:tcPr>
          <w:p w:rsidR="00806F1A" w:rsidRDefault="00A80763">
            <w:r>
              <w:t>Иностранный язык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</w:tr>
      <w:tr w:rsidR="00806F1A">
        <w:tc>
          <w:tcPr>
            <w:tcW w:w="3638" w:type="dxa"/>
            <w:vMerge w:val="restart"/>
          </w:tcPr>
          <w:p w:rsidR="00806F1A" w:rsidRDefault="00A80763">
            <w:r>
              <w:t>Математика и информатика</w:t>
            </w:r>
          </w:p>
        </w:tc>
        <w:tc>
          <w:tcPr>
            <w:tcW w:w="3638" w:type="dxa"/>
          </w:tcPr>
          <w:p w:rsidR="00806F1A" w:rsidRDefault="00A80763">
            <w:r>
              <w:t>Алгебра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Геометрия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Вероятность и статистика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Информатика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  <w:vMerge w:val="restart"/>
          </w:tcPr>
          <w:p w:rsidR="00806F1A" w:rsidRDefault="00A80763">
            <w:r>
              <w:t>Общественно-научные предметы</w:t>
            </w:r>
          </w:p>
        </w:tc>
        <w:tc>
          <w:tcPr>
            <w:tcW w:w="3638" w:type="dxa"/>
          </w:tcPr>
          <w:p w:rsidR="00806F1A" w:rsidRDefault="00A80763">
            <w:r>
              <w:t>История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Обществознание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География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  <w:vMerge w:val="restart"/>
          </w:tcPr>
          <w:p w:rsidR="00806F1A" w:rsidRDefault="00A80763">
            <w:r>
              <w:t>Естественно-научные предметы</w:t>
            </w:r>
          </w:p>
        </w:tc>
        <w:tc>
          <w:tcPr>
            <w:tcW w:w="3638" w:type="dxa"/>
          </w:tcPr>
          <w:p w:rsidR="00806F1A" w:rsidRDefault="00A80763">
            <w:r>
              <w:t>Физика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Химия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  <w:vMerge/>
          </w:tcPr>
          <w:p w:rsidR="00806F1A" w:rsidRDefault="00806F1A"/>
        </w:tc>
        <w:tc>
          <w:tcPr>
            <w:tcW w:w="3638" w:type="dxa"/>
          </w:tcPr>
          <w:p w:rsidR="00806F1A" w:rsidRDefault="00A80763">
            <w:r>
              <w:t>Биология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</w:tcPr>
          <w:p w:rsidR="00806F1A" w:rsidRDefault="00A80763">
            <w:r>
              <w:t>Физическая культура</w:t>
            </w:r>
          </w:p>
        </w:tc>
        <w:tc>
          <w:tcPr>
            <w:tcW w:w="3638" w:type="dxa"/>
          </w:tcPr>
          <w:p w:rsidR="00806F1A" w:rsidRDefault="00A80763">
            <w:r>
              <w:t>Физическая культура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3</w:t>
            </w:r>
          </w:p>
        </w:tc>
      </w:tr>
      <w:tr w:rsidR="00806F1A">
        <w:tc>
          <w:tcPr>
            <w:tcW w:w="3638" w:type="dxa"/>
          </w:tcPr>
          <w:p w:rsidR="00806F1A" w:rsidRDefault="00A80763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06F1A" w:rsidRDefault="00A80763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3638" w:type="dxa"/>
          </w:tcPr>
          <w:p w:rsidR="00806F1A" w:rsidRDefault="00A80763">
            <w:r>
              <w:t>-----</w:t>
            </w:r>
          </w:p>
        </w:tc>
        <w:tc>
          <w:tcPr>
            <w:tcW w:w="3638" w:type="dxa"/>
          </w:tcPr>
          <w:p w:rsidR="00806F1A" w:rsidRDefault="00A80763">
            <w:r>
              <w:t>Индивидуальный проект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0</w:t>
            </w:r>
          </w:p>
        </w:tc>
      </w:tr>
      <w:tr w:rsidR="00806F1A">
        <w:tc>
          <w:tcPr>
            <w:tcW w:w="7276" w:type="dxa"/>
            <w:gridSpan w:val="2"/>
            <w:shd w:val="clear" w:color="auto" w:fill="00FF00"/>
          </w:tcPr>
          <w:p w:rsidR="00806F1A" w:rsidRDefault="00A80763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27</w:t>
            </w:r>
          </w:p>
        </w:tc>
      </w:tr>
      <w:tr w:rsidR="00806F1A">
        <w:tc>
          <w:tcPr>
            <w:tcW w:w="14552" w:type="dxa"/>
            <w:gridSpan w:val="4"/>
            <w:shd w:val="clear" w:color="auto" w:fill="FFFFB3"/>
          </w:tcPr>
          <w:p w:rsidR="00806F1A" w:rsidRDefault="00A8076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06F1A">
        <w:tc>
          <w:tcPr>
            <w:tcW w:w="7276" w:type="dxa"/>
            <w:gridSpan w:val="2"/>
            <w:shd w:val="clear" w:color="auto" w:fill="D9D9D9"/>
          </w:tcPr>
          <w:p w:rsidR="00806F1A" w:rsidRDefault="00A80763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806F1A" w:rsidRDefault="00806F1A"/>
        </w:tc>
        <w:tc>
          <w:tcPr>
            <w:tcW w:w="3638" w:type="dxa"/>
            <w:shd w:val="clear" w:color="auto" w:fill="D9D9D9"/>
          </w:tcPr>
          <w:p w:rsidR="00806F1A" w:rsidRDefault="00806F1A"/>
        </w:tc>
      </w:tr>
      <w:tr w:rsidR="00806F1A">
        <w:tc>
          <w:tcPr>
            <w:tcW w:w="7276" w:type="dxa"/>
            <w:gridSpan w:val="2"/>
          </w:tcPr>
          <w:p w:rsidR="00806F1A" w:rsidRDefault="00A80763">
            <w:r>
              <w:t>Русский язык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  <w:gridSpan w:val="2"/>
          </w:tcPr>
          <w:p w:rsidR="00806F1A" w:rsidRDefault="00A80763">
            <w:r>
              <w:t>Информатика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  <w:gridSpan w:val="2"/>
          </w:tcPr>
          <w:p w:rsidR="00806F1A" w:rsidRDefault="00A80763">
            <w:r>
              <w:t>Физика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2</w:t>
            </w:r>
          </w:p>
        </w:tc>
      </w:tr>
      <w:tr w:rsidR="00806F1A">
        <w:tc>
          <w:tcPr>
            <w:tcW w:w="7276" w:type="dxa"/>
            <w:gridSpan w:val="2"/>
          </w:tcPr>
          <w:p w:rsidR="00806F1A" w:rsidRDefault="00A80763">
            <w:r>
              <w:t xml:space="preserve">География 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  <w:gridSpan w:val="2"/>
            <w:shd w:val="clear" w:color="auto" w:fill="00FF00"/>
          </w:tcPr>
          <w:p w:rsidR="00806F1A" w:rsidRDefault="00A80763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5</w:t>
            </w:r>
          </w:p>
        </w:tc>
      </w:tr>
      <w:tr w:rsidR="00806F1A">
        <w:tc>
          <w:tcPr>
            <w:tcW w:w="7276" w:type="dxa"/>
            <w:gridSpan w:val="2"/>
            <w:shd w:val="clear" w:color="auto" w:fill="00FF00"/>
          </w:tcPr>
          <w:p w:rsidR="00806F1A" w:rsidRDefault="00A80763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32</w:t>
            </w:r>
          </w:p>
        </w:tc>
      </w:tr>
      <w:tr w:rsidR="00806F1A">
        <w:tc>
          <w:tcPr>
            <w:tcW w:w="7276" w:type="dxa"/>
            <w:gridSpan w:val="2"/>
            <w:shd w:val="clear" w:color="auto" w:fill="FCE3FC"/>
          </w:tcPr>
          <w:p w:rsidR="00806F1A" w:rsidRDefault="00A80763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06F1A" w:rsidRDefault="00A80763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806F1A" w:rsidRDefault="00A80763">
            <w:pPr>
              <w:jc w:val="center"/>
            </w:pPr>
            <w:r>
              <w:t>34</w:t>
            </w:r>
          </w:p>
        </w:tc>
      </w:tr>
      <w:tr w:rsidR="00806F1A">
        <w:tc>
          <w:tcPr>
            <w:tcW w:w="7276" w:type="dxa"/>
            <w:gridSpan w:val="2"/>
            <w:shd w:val="clear" w:color="auto" w:fill="FCE3FC"/>
          </w:tcPr>
          <w:p w:rsidR="00806F1A" w:rsidRDefault="00A80763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06F1A" w:rsidRDefault="00A80763">
            <w:pPr>
              <w:jc w:val="center"/>
            </w:pPr>
            <w:r>
              <w:t>1088</w:t>
            </w:r>
          </w:p>
        </w:tc>
        <w:tc>
          <w:tcPr>
            <w:tcW w:w="3638" w:type="dxa"/>
            <w:shd w:val="clear" w:color="auto" w:fill="FCE3FC"/>
          </w:tcPr>
          <w:p w:rsidR="00806F1A" w:rsidRDefault="00A80763">
            <w:pPr>
              <w:jc w:val="center"/>
            </w:pPr>
            <w:r>
              <w:t>1088</w:t>
            </w:r>
          </w:p>
        </w:tc>
      </w:tr>
    </w:tbl>
    <w:p w:rsidR="00806F1A" w:rsidRDefault="00A80763">
      <w:r>
        <w:br w:type="page"/>
      </w:r>
    </w:p>
    <w:p w:rsidR="00806F1A" w:rsidRDefault="00A80763">
      <w:r>
        <w:rPr>
          <w:b/>
          <w:sz w:val="32"/>
        </w:rPr>
        <w:lastRenderedPageBreak/>
        <w:t>План внеурочной деятельности (недельный)</w:t>
      </w:r>
    </w:p>
    <w:p w:rsidR="00806F1A" w:rsidRDefault="007B0A43">
      <w:r>
        <w:t xml:space="preserve">Федерального государственного бюджетного профессионально-образовательного учреждения </w:t>
      </w:r>
      <w:r w:rsidR="00A80763">
        <w:t>"Санкт-Петербургское специальное учебно-воспитательное учреждение закрытого типа"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806F1A">
        <w:tc>
          <w:tcPr>
            <w:tcW w:w="7276" w:type="dxa"/>
            <w:vMerge w:val="restart"/>
            <w:shd w:val="clear" w:color="auto" w:fill="D9D9D9"/>
          </w:tcPr>
          <w:p w:rsidR="00806F1A" w:rsidRDefault="00A80763">
            <w:r>
              <w:rPr>
                <w:b/>
              </w:rPr>
              <w:t>Учебные курсы</w:t>
            </w:r>
          </w:p>
          <w:p w:rsidR="00806F1A" w:rsidRDefault="00806F1A"/>
        </w:tc>
        <w:tc>
          <w:tcPr>
            <w:tcW w:w="7276" w:type="dxa"/>
            <w:gridSpan w:val="2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06F1A">
        <w:tc>
          <w:tcPr>
            <w:tcW w:w="7276" w:type="dxa"/>
            <w:vMerge/>
          </w:tcPr>
          <w:p w:rsidR="00806F1A" w:rsidRDefault="00806F1A"/>
        </w:tc>
        <w:tc>
          <w:tcPr>
            <w:tcW w:w="3638" w:type="dxa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806F1A" w:rsidRDefault="00A80763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06F1A">
        <w:tc>
          <w:tcPr>
            <w:tcW w:w="7276" w:type="dxa"/>
          </w:tcPr>
          <w:p w:rsidR="00806F1A" w:rsidRDefault="00A80763">
            <w:r>
              <w:t>Разговоры о важном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</w:tcPr>
          <w:p w:rsidR="00806F1A" w:rsidRDefault="00A80763">
            <w:r>
              <w:t>Функциональная грамотность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</w:tcPr>
          <w:p w:rsidR="00806F1A" w:rsidRDefault="00A80763">
            <w:r>
              <w:t>Россия - мои горизонты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06F1A" w:rsidRDefault="00A80763">
            <w:pPr>
              <w:jc w:val="center"/>
            </w:pPr>
            <w:r>
              <w:t>1</w:t>
            </w:r>
          </w:p>
        </w:tc>
      </w:tr>
      <w:tr w:rsidR="00806F1A">
        <w:tc>
          <w:tcPr>
            <w:tcW w:w="7276" w:type="dxa"/>
            <w:shd w:val="clear" w:color="auto" w:fill="00FF00"/>
          </w:tcPr>
          <w:p w:rsidR="00806F1A" w:rsidRDefault="00A80763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806F1A" w:rsidRDefault="00A80763">
            <w:pPr>
              <w:jc w:val="center"/>
            </w:pPr>
            <w:r>
              <w:t>3</w:t>
            </w:r>
          </w:p>
        </w:tc>
      </w:tr>
    </w:tbl>
    <w:p w:rsidR="00A80763" w:rsidRDefault="00A80763"/>
    <w:sectPr w:rsidR="00A8076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81215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0A43"/>
    <w:rsid w:val="007B5622"/>
    <w:rsid w:val="007E3674"/>
    <w:rsid w:val="007E7965"/>
    <w:rsid w:val="00804FE3"/>
    <w:rsid w:val="00806306"/>
    <w:rsid w:val="00806F1A"/>
    <w:rsid w:val="0081324A"/>
    <w:rsid w:val="00833178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0763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605A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2024-10-10T15:32:00Z</cp:lastPrinted>
  <dcterms:created xsi:type="dcterms:W3CDTF">2023-04-17T10:37:00Z</dcterms:created>
  <dcterms:modified xsi:type="dcterms:W3CDTF">2024-10-24T15:47:00Z</dcterms:modified>
</cp:coreProperties>
</file>