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06" w:rsidRDefault="00F60806" w:rsidP="00F60806">
      <w:pPr>
        <w:pStyle w:val="af0"/>
      </w:pPr>
      <w:bookmarkStart w:id="0" w:name="block-61526617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-3810</wp:posOffset>
            </wp:positionV>
            <wp:extent cx="6367946" cy="8759421"/>
            <wp:effectExtent l="0" t="0" r="0" b="0"/>
            <wp:wrapThrough wrapText="bothSides">
              <wp:wrapPolygon edited="0">
                <wp:start x="0" y="0"/>
                <wp:lineTo x="0" y="21562"/>
                <wp:lineTo x="21518" y="21562"/>
                <wp:lineTo x="21518" y="0"/>
                <wp:lineTo x="0" y="0"/>
              </wp:wrapPolygon>
            </wp:wrapThrough>
            <wp:docPr id="1" name="Рисунок 1" descr="C:\Users\ASUSNE~1\AppData\Local\Temp\Rar$DIa0.310\РП Алгебра 7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310\РП Алгебра 7-9 кл. ЗП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946" cy="875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806" w:rsidRPr="00F60806" w:rsidRDefault="00F60806" w:rsidP="00F60806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F6080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Цели изучения учебного курса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 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естественным образом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является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реализацией деятельностного принципа обучения.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</w:t>
      </w:r>
      <w:r w:rsidRPr="00F6080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-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методических линий развивается на протяжении трёх лет изучения курса, естественным образом переплетаясь и взаимодействуя с другими его линиями.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ходе изучения курса обучающимся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приходится логически рассуждать, использовать теоретико-множественный язык. Таким образом, можно утверждать, что содержательной и структурной особенностью курса «Алгебра» является его интегрированный характер.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 и иррациональными числами, формированием представлений о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действительном числе. Завершение освоения числовой линии отнесено к старшему звену общего образования.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задач. В основной школе учебный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итие алгоритмического мышления,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необходимого, в частности, для освоения курса информатики, 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обществе. Изучение этого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материала способствует развитию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обучающихся умения использовать различные выразительные средства языка математики </w:t>
      </w:r>
      <w:r w:rsidRPr="00F6080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—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словесные, символические, графические, вносит вклад в формирование представлений о роли математики в развитии цивилизации и культуры.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>Программа отражает содержание обучения предмету «Алгебра» с учетом особых образовательных потребностей обучающихся с ЗПР. Овладение учебным предметом «Алгебра»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алгоритму. Они восприимчивы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обучающихся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мышления осложняет усвоения навыка решения уравнений, неравенств, системы уравнений. Им малодоступно совершение обратимых операций.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Точность запоминания и воспроизведения учебного материала снижены по причине слабости мнестической деятельности, сужения объема памяти. Обучающимся с ЗПР требуется больше времени на закрепление материала, актуализация знаний по опоре при воспроизведении.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Для преодоления трудностей в изучении учебного предмета «Алгебра»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алгебры способствуют прочному и сознательному усвоению базисных математических знаний и умений.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Достижение целей обеспечивается решением следующих </w:t>
      </w:r>
      <w:r w:rsidRPr="00F608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задач: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формировать у обучающихся с ЗПР навыки учебно-познавательной деятельности: планирование работы, поиск рациональных путей ее выполнения, осуществления самоконтроля;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формировать ключевые компетенции учащихся в рамках предметной области «Математика и информатика»;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развивать понятийное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мышления обучающихся с ЗПР;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осущес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твлять коррекцию познавательных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процессов обучающихся с ЗПР, необходимых для освоения программного материала по учебному предмету;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14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сформировать устойчивый интерес учащихся к предмету; </w:t>
      </w:r>
    </w:p>
    <w:p w:rsidR="00F60806" w:rsidRPr="00F60806" w:rsidRDefault="00F60806" w:rsidP="00F60806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выявлять и развивать математические и творческие способности. </w:t>
      </w:r>
    </w:p>
    <w:p w:rsidR="00F60806" w:rsidRPr="00F60806" w:rsidRDefault="00F60806" w:rsidP="00F6080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Содержание образования,  соответствующее предметным результатам освоения 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 с ЗПР, расширяя и углубляя её, образуя  прочные множественные связи.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Особенности отбора и адаптации учебного материала.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Обучение учебному предмету «алгебра»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обучающихся с 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Программа предусматривает внесение некоторых изменений: уменьшение объема теоретических сведений, вынесение отдельных тем или целых разделов в материалы для обзорного, ознакомительного изучения. </w:t>
      </w:r>
    </w:p>
    <w:p w:rsidR="00F60806" w:rsidRPr="00F60806" w:rsidRDefault="00F60806" w:rsidP="00F608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Pr="00F6080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ознакомительном плане рекомендуется изучать следующие темы: «Иррациональные числа. Действительные числа», «Сравнение действительных чисел, арифметические действия с действительными числами», «Нахождение приближенных значений квадратного корня», «Теорема Виета», «Решения уравнений третьей и четвёртой степеней разложением на множители», «Функция у =√х и ее график», «Погрешность и </w:t>
      </w:r>
    </w:p>
    <w:p w:rsidR="00F60806" w:rsidRPr="00F60806" w:rsidRDefault="00F60806" w:rsidP="00F608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точность приближения», «Четные и нечетные функции», «Функция у=х</w:t>
      </w:r>
      <w:r w:rsidRPr="00F60806">
        <w:rPr>
          <w:rFonts w:ascii="Times New Roman" w:eastAsia="Calibri" w:hAnsi="Times New Roman" w:cs="Times New Roman"/>
          <w:sz w:val="28"/>
          <w:szCs w:val="28"/>
        </w:rPr>
        <w:t>n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«Функция у= ах2, ее график и свойства. Графики функций у= ах2 + </w:t>
      </w:r>
      <w:r w:rsidRPr="00F60806">
        <w:rPr>
          <w:rFonts w:ascii="Times New Roman" w:eastAsia="Calibri" w:hAnsi="Times New Roman" w:cs="Times New Roman"/>
          <w:sz w:val="28"/>
          <w:szCs w:val="28"/>
        </w:rPr>
        <w:t>n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у=а(х-</w:t>
      </w:r>
      <w:r w:rsidRPr="00F60806">
        <w:rPr>
          <w:rFonts w:ascii="Times New Roman" w:eastAsia="Calibri" w:hAnsi="Times New Roman" w:cs="Times New Roman"/>
          <w:sz w:val="28"/>
          <w:szCs w:val="28"/>
        </w:rPr>
        <w:t>m</w:t>
      </w:r>
      <w:r w:rsidRPr="00F60806">
        <w:rPr>
          <w:rFonts w:ascii="Times New Roman" w:eastAsia="Calibri" w:hAnsi="Times New Roman" w:cs="Times New Roman"/>
          <w:sz w:val="28"/>
          <w:szCs w:val="28"/>
          <w:lang w:val="ru-RU"/>
        </w:rPr>
        <w:t>)2, «Уравнение с двумя переменными и его график», «Графический способ решения системы уравнений», «Изображение членов арифметической и геометрической прогрессий точками на координатной плоскости. Линейный и экспоненциальный рост. Сложные проценты».</w:t>
      </w:r>
    </w:p>
    <w:p w:rsidR="00F60806" w:rsidRPr="00F60806" w:rsidRDefault="00F60806" w:rsidP="00F60806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F60806">
        <w:rPr>
          <w:rFonts w:ascii="Times New Roman" w:eastAsia="Calibri" w:hAnsi="Times New Roman" w:cs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F60806" w:rsidRDefault="00F608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61526618"/>
      <w:bookmarkStart w:id="2" w:name="88e7274f-146c-45cf-bb6c-0aa84ae038d1"/>
      <w:bookmarkEnd w:id="0"/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bookmarkStart w:id="3" w:name="block-61526619"/>
      <w:bookmarkEnd w:id="1"/>
      <w:bookmarkEnd w:id="2"/>
      <w:r w:rsidRPr="00D86E6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6" w:name="_Toc124426225"/>
      <w:r w:rsidRPr="00D86E6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7" w:name="_Toc124426226"/>
      <w:r w:rsidRPr="00D86E6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8" w:name="_Toc124426227"/>
      <w:r w:rsidRPr="00D86E6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86E6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алгебраическим способом.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86E6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86E6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6E6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bookmarkStart w:id="10" w:name="block-61526614"/>
      <w:bookmarkEnd w:id="3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86E6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6205" w:rsidRPr="00D86E6B" w:rsidRDefault="00D176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4"/>
      <w:bookmarkEnd w:id="11"/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5"/>
      <w:bookmarkEnd w:id="12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6"/>
      <w:bookmarkEnd w:id="13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7"/>
      <w:bookmarkEnd w:id="14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8"/>
      <w:bookmarkEnd w:id="15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0"/>
      <w:bookmarkEnd w:id="16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1"/>
      <w:bookmarkEnd w:id="17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2"/>
      <w:bookmarkEnd w:id="18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3"/>
      <w:bookmarkEnd w:id="19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86E6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5"/>
      <w:bookmarkEnd w:id="20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6"/>
      <w:bookmarkEnd w:id="21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7"/>
      <w:bookmarkEnd w:id="22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360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86E6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bookmarkStart w:id="24" w:name="block-61526615"/>
      <w:bookmarkEnd w:id="10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762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762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7620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372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E6B" w:rsidRDefault="00D86E6B"/>
    <w:p w:rsidR="00676205" w:rsidRPr="00D86E6B" w:rsidRDefault="00D17649">
      <w:pPr>
        <w:spacing w:before="199" w:after="199" w:line="336" w:lineRule="auto"/>
        <w:ind w:left="120"/>
        <w:rPr>
          <w:lang w:val="ru-RU"/>
        </w:rPr>
      </w:pPr>
      <w:bookmarkStart w:id="25" w:name="block-61526620"/>
      <w:bookmarkEnd w:id="24"/>
      <w:r w:rsidRPr="00D86E6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76205" w:rsidRDefault="00D176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целого выражения в многочлен приведением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подобных слагаемых, раскрытием скобок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величинами: скорость, время, расстояние, цену, количество, стоимость,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производительность, время, объём работы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сколько, и прочее)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676205" w:rsidRDefault="00D17649" w:rsidP="00403CC5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676205" w:rsidRDefault="00676205" w:rsidP="00403CC5">
            <w:pPr>
              <w:spacing w:after="0" w:line="288" w:lineRule="auto"/>
              <w:jc w:val="both"/>
            </w:pP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676205" w:rsidRPr="00D86E6B" w:rsidRDefault="00676205" w:rsidP="00403CC5">
            <w:pPr>
              <w:spacing w:after="0" w:line="288" w:lineRule="auto"/>
              <w:jc w:val="both"/>
              <w:rPr>
                <w:lang w:val="ru-RU"/>
              </w:rPr>
            </w:pP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272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квадратичную функцию по формуле, приводить примеры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квадратичных функций из реальной жизни, физики, геометрии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before="199" w:after="199" w:line="336" w:lineRule="auto"/>
        <w:ind w:left="120"/>
      </w:pPr>
      <w:bookmarkStart w:id="26" w:name="block-6152662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6205" w:rsidRDefault="00D176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уравнений по условию задачи. Решение текстовых задач с помощью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76205" w:rsidRDefault="00676205">
      <w:pPr>
        <w:spacing w:after="0"/>
        <w:ind w:left="120"/>
      </w:pPr>
    </w:p>
    <w:p w:rsidR="00676205" w:rsidRDefault="00676205">
      <w:pPr>
        <w:sectPr w:rsidR="00676205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Pr="00D86E6B" w:rsidRDefault="00372CAF">
      <w:pPr>
        <w:spacing w:before="199" w:after="199" w:line="336" w:lineRule="auto"/>
        <w:ind w:left="120"/>
        <w:rPr>
          <w:lang w:val="ru-RU"/>
        </w:rPr>
      </w:pPr>
      <w:bookmarkStart w:id="27" w:name="block-61526623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ГВЭ</w:t>
      </w:r>
      <w:bookmarkStart w:id="28" w:name="_GoBack"/>
      <w:bookmarkEnd w:id="28"/>
      <w:r w:rsidR="00D17649" w:rsidRPr="00D86E6B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676205" w:rsidRPr="00D86E6B" w:rsidRDefault="00676205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272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76205" w:rsidRPr="00372CAF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9" w:name="block-61526624"/>
      <w:bookmarkEnd w:id="27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</w:t>
      </w:r>
      <w:r w:rsidR="00372CAF">
        <w:rPr>
          <w:rFonts w:ascii="Times New Roman" w:hAnsi="Times New Roman"/>
          <w:b/>
          <w:color w:val="000000"/>
          <w:sz w:val="28"/>
          <w:lang w:val="ru-RU"/>
        </w:rPr>
        <w:t xml:space="preserve"> СОДЕРЖАНИЯ, ПРОВЕРЯЕМЫХ НА ГВЭ</w:t>
      </w:r>
      <w:r w:rsidR="00403C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76205" w:rsidRPr="00372CAF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76205" w:rsidRDefault="00676205">
      <w:pPr>
        <w:spacing w:after="0"/>
        <w:ind w:left="120"/>
      </w:pPr>
    </w:p>
    <w:p w:rsidR="00676205" w:rsidRDefault="00676205">
      <w:pPr>
        <w:sectPr w:rsidR="00676205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D17649" w:rsidRPr="00D86E6B" w:rsidRDefault="00D17649">
      <w:pPr>
        <w:rPr>
          <w:lang w:val="ru-RU"/>
        </w:rPr>
      </w:pPr>
    </w:p>
    <w:sectPr w:rsidR="00D17649" w:rsidRPr="00D86E6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D5" w:rsidRDefault="004117D5" w:rsidP="00D86E6B">
      <w:pPr>
        <w:spacing w:after="0" w:line="240" w:lineRule="auto"/>
      </w:pPr>
      <w:r>
        <w:separator/>
      </w:r>
    </w:p>
  </w:endnote>
  <w:endnote w:type="continuationSeparator" w:id="0">
    <w:p w:rsidR="004117D5" w:rsidRDefault="004117D5" w:rsidP="00D8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D5" w:rsidRDefault="004117D5" w:rsidP="00D86E6B">
      <w:pPr>
        <w:spacing w:after="0" w:line="240" w:lineRule="auto"/>
      </w:pPr>
      <w:r>
        <w:separator/>
      </w:r>
    </w:p>
  </w:footnote>
  <w:footnote w:type="continuationSeparator" w:id="0">
    <w:p w:rsidR="004117D5" w:rsidRDefault="004117D5" w:rsidP="00D8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43E"/>
    <w:multiLevelType w:val="multilevel"/>
    <w:tmpl w:val="9A02A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50295"/>
    <w:multiLevelType w:val="multilevel"/>
    <w:tmpl w:val="98242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52B9A"/>
    <w:multiLevelType w:val="multilevel"/>
    <w:tmpl w:val="C8D66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052B0"/>
    <w:multiLevelType w:val="multilevel"/>
    <w:tmpl w:val="F4589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8B4BA3"/>
    <w:multiLevelType w:val="hybridMultilevel"/>
    <w:tmpl w:val="EB60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5FFA"/>
    <w:multiLevelType w:val="multilevel"/>
    <w:tmpl w:val="AFEC78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375718"/>
    <w:multiLevelType w:val="multilevel"/>
    <w:tmpl w:val="F1FE5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6205"/>
    <w:rsid w:val="00372CAF"/>
    <w:rsid w:val="00403CC5"/>
    <w:rsid w:val="004117D5"/>
    <w:rsid w:val="00561896"/>
    <w:rsid w:val="00676205"/>
    <w:rsid w:val="007464D1"/>
    <w:rsid w:val="00D17649"/>
    <w:rsid w:val="00D86E6B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AC97-6D0D-4118-A302-110CD8E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6E6B"/>
  </w:style>
  <w:style w:type="paragraph" w:styleId="af0">
    <w:name w:val="Normal (Web)"/>
    <w:basedOn w:val="a"/>
    <w:uiPriority w:val="99"/>
    <w:semiHidden/>
    <w:unhideWhenUsed/>
    <w:rsid w:val="0040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99"/>
    <w:rsid w:val="00F6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af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8848</Words>
  <Characters>50440</Characters>
  <Application>Microsoft Office Word</Application>
  <DocSecurity>0</DocSecurity>
  <Lines>420</Lines>
  <Paragraphs>118</Paragraphs>
  <ScaleCrop>false</ScaleCrop>
  <Company/>
  <LinksUpToDate>false</LinksUpToDate>
  <CharactersWithSpaces>59170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8</cp:revision>
  <dcterms:created xsi:type="dcterms:W3CDTF">2025-09-03T23:02:00Z</dcterms:created>
  <dcterms:modified xsi:type="dcterms:W3CDTF">2025-11-25T20:50:00Z</dcterms:modified>
</cp:coreProperties>
</file>