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E" w:rsidRDefault="00ED7AAE" w:rsidP="00ED7AAE">
      <w:pPr>
        <w:pStyle w:val="ae"/>
      </w:pPr>
      <w:bookmarkStart w:id="0" w:name="block-63518548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-3810</wp:posOffset>
            </wp:positionV>
            <wp:extent cx="6515100" cy="8854440"/>
            <wp:effectExtent l="0" t="0" r="0" b="0"/>
            <wp:wrapThrough wrapText="bothSides">
              <wp:wrapPolygon edited="0">
                <wp:start x="0" y="0"/>
                <wp:lineTo x="0" y="21563"/>
                <wp:lineTo x="21537" y="21563"/>
                <wp:lineTo x="21537" y="0"/>
                <wp:lineTo x="0" y="0"/>
              </wp:wrapPolygon>
            </wp:wrapThrough>
            <wp:docPr id="1" name="Рисунок 1" descr="C:\Users\ASUSNE~1\AppData\Local\Temp\Rar$DIa0.419\РП История 5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419\РП История 5-9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A4D84" w:rsidRDefault="007F7A8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истории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5A4D84" w:rsidRPr="00ED7AAE" w:rsidRDefault="007F7A88">
      <w:pPr>
        <w:numPr>
          <w:ilvl w:val="0"/>
          <w:numId w:val="1"/>
        </w:numPr>
        <w:spacing w:after="0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A4D84" w:rsidRPr="00ED7AAE" w:rsidRDefault="007F7A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A4D84" w:rsidRPr="00ED7AAE" w:rsidRDefault="007F7A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A4D84" w:rsidRPr="00ED7AAE" w:rsidRDefault="007F7A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5A4D84" w:rsidRPr="00ED7AAE" w:rsidRDefault="005A4D84">
      <w:pPr>
        <w:rPr>
          <w:lang w:val="ru-RU"/>
        </w:rPr>
        <w:sectPr w:rsidR="005A4D84" w:rsidRPr="00ED7AAE">
          <w:pgSz w:w="11906" w:h="16383"/>
          <w:pgMar w:top="1134" w:right="850" w:bottom="1134" w:left="1701" w:header="720" w:footer="720" w:gutter="0"/>
          <w:cols w:space="720"/>
        </w:sect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bookmarkStart w:id="1" w:name="block-63518546"/>
      <w:bookmarkEnd w:id="0"/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Усиление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майордомов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И.Гутенберг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сегунов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Индия: раздробленность индийских княжеств, вторжение мусульман, Делийский султанат.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A4D84" w:rsidRPr="00ED7AAE" w:rsidRDefault="005A4D84">
      <w:pPr>
        <w:spacing w:after="0"/>
        <w:ind w:left="120"/>
        <w:rPr>
          <w:lang w:val="ru-RU"/>
        </w:rPr>
      </w:pPr>
    </w:p>
    <w:p w:rsidR="005A4D84" w:rsidRPr="00ED7AAE" w:rsidRDefault="007F7A88">
      <w:pPr>
        <w:spacing w:after="0"/>
        <w:ind w:left="120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A4D84" w:rsidRPr="00ED7AAE" w:rsidRDefault="005A4D84">
      <w:pPr>
        <w:spacing w:after="0"/>
        <w:ind w:left="120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Скифское царство в Крыму. Дербент.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). Ереси.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Геннадиевская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Нацио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нально</w:t>
      </w:r>
      <w:proofErr w:type="spellEnd"/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Делагарди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распад тушинского лагеря. Открытое вступление Речи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Поход принца Владислава на Москву. Заключение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Итоги и последствия Смутного времени.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мир. Контакты с православным населением Речи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: противодействие полонизации, распространению католичества. Контакты с Запорожской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Пере-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яславская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1654–1667 гг.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Солари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Алевиз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Фрязин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Петрок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живопись.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первое учебное пособие по истории.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под суверенитет Российской империи. Война с Османской империей.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бла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D7AA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. «Открытие Японии». Реставрация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A4D84" w:rsidRPr="00ED7AAE" w:rsidRDefault="005A4D84">
      <w:pPr>
        <w:rPr>
          <w:lang w:val="ru-RU"/>
        </w:rPr>
        <w:sectPr w:rsidR="005A4D84" w:rsidRPr="00ED7AAE">
          <w:pgSz w:w="11906" w:h="16383"/>
          <w:pgMar w:top="1134" w:right="850" w:bottom="1134" w:left="1701" w:header="720" w:footer="720" w:gutter="0"/>
          <w:cols w:space="720"/>
        </w:sect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bookmarkStart w:id="2" w:name="block-63518547"/>
      <w:bookmarkEnd w:id="1"/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A4D84" w:rsidRPr="00ED7AAE" w:rsidRDefault="005A4D84">
      <w:pPr>
        <w:spacing w:after="0"/>
        <w:ind w:left="120"/>
        <w:rPr>
          <w:lang w:val="ru-RU"/>
        </w:rPr>
      </w:pPr>
    </w:p>
    <w:p w:rsidR="005A4D84" w:rsidRPr="00ED7AAE" w:rsidRDefault="007F7A88">
      <w:pPr>
        <w:spacing w:after="0"/>
        <w:ind w:left="120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7AAE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D7AAE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A4D84" w:rsidRPr="00ED7AAE" w:rsidRDefault="007F7A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A4D84" w:rsidRPr="00ED7AAE" w:rsidRDefault="007F7A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A4D84" w:rsidRPr="00ED7AAE" w:rsidRDefault="007F7A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A4D84" w:rsidRPr="00ED7AAE" w:rsidRDefault="007F7A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A4D84" w:rsidRPr="00ED7AAE" w:rsidRDefault="007F7A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A4D84" w:rsidRPr="00ED7AAE" w:rsidRDefault="007F7A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исторических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A4D84" w:rsidRPr="00ED7AAE" w:rsidRDefault="007F7A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A4D84" w:rsidRPr="00ED7AAE" w:rsidRDefault="007F7A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A4D84" w:rsidRPr="00ED7AAE" w:rsidRDefault="007F7A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A4D84" w:rsidRPr="00ED7AAE" w:rsidRDefault="007F7A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A4D84" w:rsidRPr="00ED7AAE" w:rsidRDefault="007F7A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A4D84" w:rsidRPr="00ED7AAE" w:rsidRDefault="007F7A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исторических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A4D84" w:rsidRPr="00ED7AAE" w:rsidRDefault="007F7A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A4D84" w:rsidRPr="00ED7AAE" w:rsidRDefault="007F7A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A4D84" w:rsidRPr="00ED7AAE" w:rsidRDefault="007F7A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A4D84" w:rsidRPr="00ED7AAE" w:rsidRDefault="007F7A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A4D84" w:rsidRPr="00ED7AAE" w:rsidRDefault="007F7A8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5A4D84" w:rsidRPr="00ED7AAE" w:rsidRDefault="007F7A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A4D84" w:rsidRDefault="007F7A88">
      <w:pPr>
        <w:numPr>
          <w:ilvl w:val="0"/>
          <w:numId w:val="21"/>
        </w:numPr>
        <w:spacing w:after="0" w:line="264" w:lineRule="auto"/>
        <w:jc w:val="both"/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5A4D84" w:rsidRPr="00ED7AAE" w:rsidRDefault="007F7A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A4D84" w:rsidRPr="00ED7AAE" w:rsidRDefault="007F7A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исторических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A4D84" w:rsidRPr="00ED7AAE" w:rsidRDefault="007F7A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A4D84" w:rsidRDefault="007F7A88">
      <w:pPr>
        <w:numPr>
          <w:ilvl w:val="0"/>
          <w:numId w:val="23"/>
        </w:numPr>
        <w:spacing w:after="0" w:line="264" w:lineRule="auto"/>
        <w:jc w:val="both"/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5A4D84" w:rsidRDefault="005A4D84">
      <w:pPr>
        <w:spacing w:after="0" w:line="264" w:lineRule="auto"/>
        <w:ind w:left="120"/>
        <w:jc w:val="both"/>
      </w:pPr>
    </w:p>
    <w:p w:rsidR="005A4D84" w:rsidRDefault="007F7A8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A4D84" w:rsidRDefault="005A4D84">
      <w:pPr>
        <w:spacing w:after="0" w:line="264" w:lineRule="auto"/>
        <w:ind w:left="120"/>
        <w:jc w:val="both"/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A4D84" w:rsidRPr="00ED7AAE" w:rsidRDefault="007F7A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A4D84" w:rsidRPr="00ED7AAE" w:rsidRDefault="007F7A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A4D84" w:rsidRPr="00ED7AAE" w:rsidRDefault="007F7A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исторических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A4D84" w:rsidRPr="00ED7AAE" w:rsidRDefault="007F7A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A4D84" w:rsidRPr="00ED7AAE" w:rsidRDefault="007F7A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A4D84" w:rsidRDefault="007F7A88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A4D84" w:rsidRPr="00ED7AAE" w:rsidRDefault="007F7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A4D84" w:rsidRPr="00ED7AAE" w:rsidRDefault="007F7A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A4D84" w:rsidRPr="00ED7AAE" w:rsidRDefault="007F7A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исторических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5A4D84">
      <w:pPr>
        <w:rPr>
          <w:lang w:val="ru-RU"/>
        </w:rPr>
        <w:sectPr w:rsidR="005A4D84" w:rsidRPr="00ED7AAE">
          <w:pgSz w:w="11906" w:h="16383"/>
          <w:pgMar w:top="1134" w:right="850" w:bottom="1134" w:left="1701" w:header="720" w:footer="720" w:gutter="0"/>
          <w:cols w:space="720"/>
        </w:sectPr>
      </w:pPr>
    </w:p>
    <w:p w:rsidR="005A4D84" w:rsidRDefault="007F7A88">
      <w:pPr>
        <w:spacing w:after="0"/>
        <w:ind w:left="120"/>
      </w:pPr>
      <w:bookmarkStart w:id="3" w:name="block-63518543"/>
      <w:bookmarkEnd w:id="2"/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5A4D8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 w:rsidTr="000B0D4E">
        <w:trPr>
          <w:trHeight w:val="8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A4D84" w:rsidRPr="000B0D4E" w:rsidTr="000B0D4E">
        <w:trPr>
          <w:trHeight w:val="327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0B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5A4D84" w:rsidRDefault="005A4D84">
      <w:pPr>
        <w:sectPr w:rsidR="005A4D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5A4D84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 w:rsidRPr="000B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0B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0B0D4E" w:rsidRDefault="000B0D4E"/>
    <w:p w:rsidR="005A4D84" w:rsidRPr="000B0D4E" w:rsidRDefault="005A4D84" w:rsidP="000B0D4E">
      <w:pPr>
        <w:sectPr w:rsidR="005A4D84" w:rsidRPr="000B0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A4D8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0B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0B0D4E" w:rsidRDefault="000B0D4E"/>
    <w:p w:rsidR="005A4D84" w:rsidRDefault="000B0D4E" w:rsidP="000B0D4E">
      <w:pPr>
        <w:tabs>
          <w:tab w:val="left" w:pos="1080"/>
        </w:tabs>
      </w:pPr>
      <w:r>
        <w:tab/>
      </w:r>
      <w:r w:rsidR="007F7A88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7F7A88">
        <w:rPr>
          <w:rFonts w:ascii="Times New Roman" w:hAnsi="Times New Roman"/>
          <w:b/>
          <w:color w:val="000000"/>
          <w:sz w:val="28"/>
        </w:rPr>
        <w:t>8</w:t>
      </w:r>
      <w:proofErr w:type="gramEnd"/>
      <w:r w:rsidR="007F7A88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A4D8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0B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0B0D4E" w:rsidRDefault="000B0D4E"/>
    <w:p w:rsidR="005A4D84" w:rsidRDefault="007F7A88">
      <w:pPr>
        <w:spacing w:after="0"/>
        <w:ind w:left="120"/>
      </w:pPr>
      <w:bookmarkStart w:id="4" w:name="_GoBack"/>
      <w:bookmarkEnd w:id="4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A4D84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0B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0B0D4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СССР. Становление новой 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spellEnd"/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bookmarkEnd w:id="3"/>
    </w:tbl>
    <w:p w:rsidR="000B0D4E" w:rsidRDefault="000B0D4E" w:rsidP="000B0D4E"/>
    <w:sectPr w:rsidR="000B0D4E" w:rsidSect="000B0D4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602"/>
    <w:multiLevelType w:val="multilevel"/>
    <w:tmpl w:val="C7BAA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749A4"/>
    <w:multiLevelType w:val="multilevel"/>
    <w:tmpl w:val="ADD43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74D7F"/>
    <w:multiLevelType w:val="multilevel"/>
    <w:tmpl w:val="AAA61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090405"/>
    <w:multiLevelType w:val="multilevel"/>
    <w:tmpl w:val="CB08A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485DF1"/>
    <w:multiLevelType w:val="multilevel"/>
    <w:tmpl w:val="3D3EB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3A293C"/>
    <w:multiLevelType w:val="multilevel"/>
    <w:tmpl w:val="5B844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86C0B"/>
    <w:multiLevelType w:val="multilevel"/>
    <w:tmpl w:val="6010C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31C14"/>
    <w:multiLevelType w:val="multilevel"/>
    <w:tmpl w:val="DBC82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FB346B"/>
    <w:multiLevelType w:val="multilevel"/>
    <w:tmpl w:val="5A12E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796B89"/>
    <w:multiLevelType w:val="multilevel"/>
    <w:tmpl w:val="4B56B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0306B7"/>
    <w:multiLevelType w:val="multilevel"/>
    <w:tmpl w:val="901AA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27325"/>
    <w:multiLevelType w:val="multilevel"/>
    <w:tmpl w:val="392CA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120281"/>
    <w:multiLevelType w:val="multilevel"/>
    <w:tmpl w:val="8EA85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476F46"/>
    <w:multiLevelType w:val="multilevel"/>
    <w:tmpl w:val="30F6C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2D65DB"/>
    <w:multiLevelType w:val="multilevel"/>
    <w:tmpl w:val="837C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43F56"/>
    <w:multiLevelType w:val="multilevel"/>
    <w:tmpl w:val="1C962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6F5247"/>
    <w:multiLevelType w:val="multilevel"/>
    <w:tmpl w:val="79EE2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EC7D92"/>
    <w:multiLevelType w:val="multilevel"/>
    <w:tmpl w:val="61F0A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2D72A3"/>
    <w:multiLevelType w:val="multilevel"/>
    <w:tmpl w:val="373EC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472FC9"/>
    <w:multiLevelType w:val="multilevel"/>
    <w:tmpl w:val="B9C8D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219FB"/>
    <w:multiLevelType w:val="multilevel"/>
    <w:tmpl w:val="F3D85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32136A"/>
    <w:multiLevelType w:val="multilevel"/>
    <w:tmpl w:val="0FE89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DA781B"/>
    <w:multiLevelType w:val="multilevel"/>
    <w:tmpl w:val="E7962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E5470A"/>
    <w:multiLevelType w:val="multilevel"/>
    <w:tmpl w:val="09BA8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2007F"/>
    <w:multiLevelType w:val="multilevel"/>
    <w:tmpl w:val="531E0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3B4D0A"/>
    <w:multiLevelType w:val="multilevel"/>
    <w:tmpl w:val="87AEA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B46DD0"/>
    <w:multiLevelType w:val="multilevel"/>
    <w:tmpl w:val="3844D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9D53B0"/>
    <w:multiLevelType w:val="multilevel"/>
    <w:tmpl w:val="BB4E1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C265D8"/>
    <w:multiLevelType w:val="multilevel"/>
    <w:tmpl w:val="A9EAF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87B8D"/>
    <w:multiLevelType w:val="multilevel"/>
    <w:tmpl w:val="55227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A91904"/>
    <w:multiLevelType w:val="multilevel"/>
    <w:tmpl w:val="E4E84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2D0FCE"/>
    <w:multiLevelType w:val="multilevel"/>
    <w:tmpl w:val="0088D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E334B"/>
    <w:multiLevelType w:val="multilevel"/>
    <w:tmpl w:val="DFA68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E92E0B"/>
    <w:multiLevelType w:val="multilevel"/>
    <w:tmpl w:val="34FE6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4D4698"/>
    <w:multiLevelType w:val="multilevel"/>
    <w:tmpl w:val="E316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C924BE"/>
    <w:multiLevelType w:val="multilevel"/>
    <w:tmpl w:val="85DA8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840BB8"/>
    <w:multiLevelType w:val="multilevel"/>
    <w:tmpl w:val="87507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D33FD3"/>
    <w:multiLevelType w:val="multilevel"/>
    <w:tmpl w:val="63202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4"/>
  </w:num>
  <w:num w:numId="3">
    <w:abstractNumId w:val="11"/>
  </w:num>
  <w:num w:numId="4">
    <w:abstractNumId w:val="20"/>
  </w:num>
  <w:num w:numId="5">
    <w:abstractNumId w:val="32"/>
  </w:num>
  <w:num w:numId="6">
    <w:abstractNumId w:val="0"/>
  </w:num>
  <w:num w:numId="7">
    <w:abstractNumId w:val="25"/>
  </w:num>
  <w:num w:numId="8">
    <w:abstractNumId w:val="28"/>
  </w:num>
  <w:num w:numId="9">
    <w:abstractNumId w:val="22"/>
  </w:num>
  <w:num w:numId="10">
    <w:abstractNumId w:val="7"/>
  </w:num>
  <w:num w:numId="11">
    <w:abstractNumId w:val="2"/>
  </w:num>
  <w:num w:numId="12">
    <w:abstractNumId w:val="14"/>
  </w:num>
  <w:num w:numId="13">
    <w:abstractNumId w:val="12"/>
  </w:num>
  <w:num w:numId="14">
    <w:abstractNumId w:val="31"/>
  </w:num>
  <w:num w:numId="15">
    <w:abstractNumId w:val="23"/>
  </w:num>
  <w:num w:numId="16">
    <w:abstractNumId w:val="34"/>
  </w:num>
  <w:num w:numId="17">
    <w:abstractNumId w:val="6"/>
  </w:num>
  <w:num w:numId="18">
    <w:abstractNumId w:val="17"/>
  </w:num>
  <w:num w:numId="19">
    <w:abstractNumId w:val="18"/>
  </w:num>
  <w:num w:numId="20">
    <w:abstractNumId w:val="15"/>
  </w:num>
  <w:num w:numId="21">
    <w:abstractNumId w:val="3"/>
  </w:num>
  <w:num w:numId="22">
    <w:abstractNumId w:val="8"/>
  </w:num>
  <w:num w:numId="23">
    <w:abstractNumId w:val="21"/>
  </w:num>
  <w:num w:numId="24">
    <w:abstractNumId w:val="29"/>
  </w:num>
  <w:num w:numId="25">
    <w:abstractNumId w:val="13"/>
  </w:num>
  <w:num w:numId="26">
    <w:abstractNumId w:val="19"/>
  </w:num>
  <w:num w:numId="27">
    <w:abstractNumId w:val="4"/>
  </w:num>
  <w:num w:numId="28">
    <w:abstractNumId w:val="35"/>
  </w:num>
  <w:num w:numId="29">
    <w:abstractNumId w:val="36"/>
  </w:num>
  <w:num w:numId="30">
    <w:abstractNumId w:val="26"/>
  </w:num>
  <w:num w:numId="31">
    <w:abstractNumId w:val="27"/>
  </w:num>
  <w:num w:numId="32">
    <w:abstractNumId w:val="30"/>
  </w:num>
  <w:num w:numId="33">
    <w:abstractNumId w:val="1"/>
  </w:num>
  <w:num w:numId="34">
    <w:abstractNumId w:val="16"/>
  </w:num>
  <w:num w:numId="35">
    <w:abstractNumId w:val="10"/>
  </w:num>
  <w:num w:numId="36">
    <w:abstractNumId w:val="9"/>
  </w:num>
  <w:num w:numId="37">
    <w:abstractNumId w:val="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4D84"/>
    <w:rsid w:val="000B0D4E"/>
    <w:rsid w:val="005A4D84"/>
    <w:rsid w:val="007F7A88"/>
    <w:rsid w:val="00E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09786-4C3D-43AE-9DF3-D9A01FC7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D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4a6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8a34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17386</Words>
  <Characters>99105</Characters>
  <Application>Microsoft Office Word</Application>
  <DocSecurity>0</DocSecurity>
  <Lines>825</Lines>
  <Paragraphs>232</Paragraphs>
  <ScaleCrop>false</ScaleCrop>
  <Company/>
  <LinksUpToDate>false</LinksUpToDate>
  <CharactersWithSpaces>116259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5</cp:revision>
  <dcterms:created xsi:type="dcterms:W3CDTF">2025-11-23T07:51:00Z</dcterms:created>
  <dcterms:modified xsi:type="dcterms:W3CDTF">2025-11-23T08:01:00Z</dcterms:modified>
</cp:coreProperties>
</file>